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8C" w:rsidRDefault="00AF0E8C">
      <w:pPr>
        <w:pStyle w:val="Heading11"/>
        <w:keepNext/>
        <w:keepLines/>
        <w:shd w:val="clear" w:color="auto" w:fill="auto"/>
        <w:spacing w:before="50" w:after="0" w:line="210" w:lineRule="exact"/>
        <w:rPr>
          <w:sz w:val="24"/>
          <w:szCs w:val="24"/>
        </w:rPr>
      </w:pPr>
      <w:bookmarkStart w:id="0" w:name="bookmark0"/>
    </w:p>
    <w:p w:rsidR="00AF0E8C" w:rsidRDefault="00E431DC">
      <w:pPr>
        <w:pStyle w:val="Heading11"/>
        <w:keepNext/>
        <w:keepLines/>
        <w:shd w:val="clear" w:color="auto" w:fill="auto"/>
        <w:spacing w:before="50" w:after="0" w:line="21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bookmarkEnd w:id="0"/>
    </w:p>
    <w:p w:rsidR="00AF0E8C" w:rsidRDefault="00E43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бонусной системы</w:t>
      </w:r>
    </w:p>
    <w:p w:rsidR="00AF0E8C" w:rsidRDefault="00E43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цифровом приложении Lingua и АСУ ЧУДО</w:t>
      </w:r>
    </w:p>
    <w:p w:rsidR="00AF0E8C" w:rsidRDefault="00E4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разработано в целях создания правил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ЦГО «Лингва» (далее по тексту Сотрудник) по начислению бонусов клиентам при работе с бонусной системой в Приложении ЛИНГВА (далее по тексту - Приложение). Положение содержит основные правила начисления бонусов в Приложении.</w:t>
      </w:r>
    </w:p>
    <w:p w:rsidR="00AF0E8C" w:rsidRDefault="00AF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осуществлении продажи (первичной или повторной) Сотрудник должен рекомендовать клиенту воспользоваться программой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лояльности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ЦГО «Лингва».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Сотрудник должен пояснить клиенту, что обязательным условием для начисления и списания  бонусов является наличие у клиента установленного  Приложения. Списание бонусов происходит исключительно по личному коду клиента из Приложения. 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должен проверить наличие Приложения у клиента, этот факт отображается  в карточке клиента (АСУ).  Номер текущего  договора клиента также отображается в АСУ.</w:t>
      </w:r>
    </w:p>
    <w:p w:rsidR="00AF0E8C" w:rsidRDefault="00E431DC">
      <w:pPr>
        <w:pStyle w:val="docdata"/>
        <w:spacing w:before="0" w:beforeAutospacing="0" w:after="200" w:afterAutospacing="0"/>
        <w:jc w:val="both"/>
        <w:rPr>
          <w:color w:val="000000"/>
        </w:rPr>
      </w:pPr>
      <w:r>
        <w:t>4. Сотрудник должен разъяснить, что начисление бонусов при любом способе оплаты происходит автоматически при внесении суммы оплаты в АСУ за исключением  договоров, в которых установлена скидка от 3 % и более (</w:t>
      </w:r>
      <w:r>
        <w:rPr>
          <w:color w:val="000000"/>
        </w:rPr>
        <w:t>наличие профсоюзной карты СНГ или Газпром, льготные категории граждан в соответствии с положением о социальной поддержке обучающихся, акции).</w:t>
      </w:r>
    </w:p>
    <w:p w:rsidR="00AF0E8C" w:rsidRDefault="00E431DC">
      <w:pPr>
        <w:pStyle w:val="docdata"/>
        <w:spacing w:before="0" w:beforeAutospacing="0" w:after="200" w:afterAutospacing="0"/>
        <w:jc w:val="both"/>
      </w:pPr>
      <w:r>
        <w:rPr>
          <w:color w:val="000000"/>
        </w:rPr>
        <w:t>5. Сотрудник также разъясняет клиенту, что бонусы начисляются только на суммы, которые клиент внес собственными средствами, бонусы на иные поступления сре</w:t>
      </w:r>
      <w:proofErr w:type="gramStart"/>
      <w:r>
        <w:rPr>
          <w:color w:val="000000"/>
        </w:rPr>
        <w:t>дств в сч</w:t>
      </w:r>
      <w:proofErr w:type="gramEnd"/>
      <w:r>
        <w:rPr>
          <w:color w:val="000000"/>
        </w:rPr>
        <w:t>ет оплаты образовательных услуг не начисляются (средства ПФДО, материнский капитал, гранты и т.п.)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Сотрудник должен предупредить клиента, что скидки и бонусы не суммируются. Клиент может выбрать: 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воспользоваться скидкой, акцией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воспользоваться бонусной системой и получать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каждой оплаты от 3%. Бонусы зачисляются на счет в приложении Lingua.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Клиенту присваивается статус VIP, который дает право получать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10% в случае, если он заключил второй договор на основную программу. Для присвоения клиенту статуса, сотруднику необходимо обратиться к  начальнику отдела ОИТ посредством личного сообщения. После присвоения статуса, начальник ОИТ  вносит соответствующие комментарии в АСУ.</w:t>
      </w:r>
    </w:p>
    <w:p w:rsidR="00AF0E8C" w:rsidRDefault="00E431DC">
      <w:pPr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Как бонусы начисляются?</w:t>
      </w:r>
    </w:p>
    <w:tbl>
      <w:tblPr>
        <w:tblStyle w:val="ab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9"/>
        <w:gridCol w:w="3199"/>
      </w:tblGrid>
      <w:tr w:rsidR="00AF0E8C" w:rsidTr="00E431DC">
        <w:tc>
          <w:tcPr>
            <w:tcW w:w="4081" w:type="pct"/>
            <w:noWrap/>
          </w:tcPr>
          <w:p w:rsidR="00AF0E8C" w:rsidRDefault="00E43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FEC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Клиент получает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кэшбек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автоматически от каждой оплаты на счет при оплате:</w:t>
            </w:r>
          </w:p>
          <w:p w:rsidR="00AF0E8C" w:rsidRDefault="00E431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4% при оплате до 20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 xml:space="preserve">3% 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9FECB"/>
                <w:lang w:eastAsia="ru-RU"/>
              </w:rPr>
              <w:t>с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9FECB"/>
                <w:lang w:eastAsia="ru-RU"/>
              </w:rPr>
              <w:t xml:space="preserve">по последний день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 xml:space="preserve">0% 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9FECB"/>
                <w:lang w:eastAsia="ru-RU"/>
              </w:rPr>
              <w:t>с 1 числа следующего месяца и позднее</w:t>
            </w:r>
          </w:p>
          <w:p w:rsidR="00AF0E8C" w:rsidRDefault="00AF0E8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vMerge w:val="restart"/>
            <w:noWrap/>
          </w:tcPr>
          <w:p w:rsidR="00AF0E8C" w:rsidRDefault="00AF0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E8C" w:rsidTr="00E431DC">
        <w:tc>
          <w:tcPr>
            <w:tcW w:w="4081" w:type="pct"/>
            <w:noWrap/>
          </w:tcPr>
          <w:p w:rsidR="00AF0E8C" w:rsidRDefault="00E431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 VIP клиент получает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кэшбек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каждой оплаты на счет при оплате: </w:t>
            </w:r>
          </w:p>
          <w:p w:rsidR="00AF0E8C" w:rsidRDefault="00E431D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10% при оплате по 20 число;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 xml:space="preserve">5% 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9FECB"/>
                <w:lang w:eastAsia="ru-RU"/>
              </w:rPr>
              <w:t>с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9FECB"/>
                <w:lang w:eastAsia="ru-RU"/>
              </w:rPr>
              <w:t>по последний день месяца;</w:t>
            </w: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 xml:space="preserve">0% 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9FECB"/>
                <w:lang w:eastAsia="ru-RU"/>
              </w:rPr>
              <w:t>с 1 числа следующего месяца и позднее;</w:t>
            </w:r>
          </w:p>
          <w:p w:rsidR="00AF0E8C" w:rsidRDefault="00AF0E8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noWrap/>
          </w:tcPr>
          <w:p w:rsidR="00AF0E8C" w:rsidRDefault="00AF0E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E8C" w:rsidTr="00E431DC">
        <w:tc>
          <w:tcPr>
            <w:tcW w:w="5000" w:type="pct"/>
            <w:gridSpan w:val="2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ВНИМАНИЕ!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Не начисляются бонусы:</w:t>
            </w: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- за платежи с 1 апреля по текущему договору, так как оплата за апрель и май производится до 20 марта;</w:t>
            </w: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- за платежи по Образовательным экспедициям;</w:t>
            </w: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- за платежи по материнскому и Югорскому капиталу, сертификату ПФДО;</w:t>
            </w: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- за платежи по Международному экзамену;</w:t>
            </w: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9FECB"/>
                <w:lang w:eastAsia="ru-RU"/>
              </w:rPr>
              <w:t>- за оплату продукции в Ресурсном центре.</w:t>
            </w:r>
          </w:p>
        </w:tc>
      </w:tr>
      <w:tr w:rsidR="00AF0E8C" w:rsidTr="00E431DC">
        <w:tc>
          <w:tcPr>
            <w:tcW w:w="4081" w:type="pc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При перезаключении  договора (продолжение образования в следующем учебном году)  на основную программу в феврале, марте,  апреле и мае действует </w:t>
            </w:r>
          </w:p>
        </w:tc>
        <w:tc>
          <w:tcPr>
            <w:tcW w:w="919" w:type="pct"/>
            <w:vMerge w:val="restar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Сотруднику необходимо обратиться к  начальнику отдела ОИТ посредством личного сообщения</w:t>
            </w:r>
          </w:p>
        </w:tc>
      </w:tr>
      <w:tr w:rsidR="00AF0E8C" w:rsidTr="00E431DC">
        <w:tc>
          <w:tcPr>
            <w:tcW w:w="4081" w:type="pc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Если клиент привел нового клиента по акции «Приведи друга» – 1000 бонусов в момент заключения договора с новым клиентом</w:t>
            </w:r>
          </w:p>
        </w:tc>
        <w:tc>
          <w:tcPr>
            <w:tcW w:w="919" w:type="pct"/>
            <w:vMerge/>
            <w:noWrap/>
          </w:tcPr>
          <w:p w:rsidR="00AF0E8C" w:rsidRDefault="00AF0E8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E8C" w:rsidTr="00E431DC">
        <w:tc>
          <w:tcPr>
            <w:tcW w:w="4081" w:type="pc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«Содержательный отзыв» - 500 бонусов, при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советнику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ДубльГиС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ЯндексКарты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ГуглКарты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 с отметкой Лингва</w:t>
            </w:r>
            <w:r w:rsidR="00B2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под постом Лингва</w:t>
            </w:r>
            <w:r w:rsidR="00B2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официальный сайт Лингва)</w:t>
            </w:r>
          </w:p>
        </w:tc>
        <w:tc>
          <w:tcPr>
            <w:tcW w:w="919" w:type="pct"/>
            <w:vMerge/>
            <w:noWrap/>
          </w:tcPr>
          <w:p w:rsidR="00AF0E8C" w:rsidRDefault="00AF0E8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0E8C" w:rsidRDefault="00AF0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8C" w:rsidRDefault="00E431DC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Как использовать бонусы? </w:t>
      </w:r>
    </w:p>
    <w:p w:rsidR="00AF0E8C" w:rsidRDefault="00E43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Бонусы списываются при личном обращении клиента к советнику:</w:t>
      </w:r>
    </w:p>
    <w:p w:rsidR="00AF0E8C" w:rsidRDefault="00E431DC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бонус = 1 рубль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AF0E8C">
        <w:trPr>
          <w:trHeight w:val="416"/>
        </w:trPr>
        <w:tc>
          <w:tcPr>
            <w:tcW w:w="5000" w:type="pct"/>
            <w:noWrap/>
          </w:tcPr>
          <w:p w:rsidR="00AF0E8C" w:rsidRDefault="00E431D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При перезаключении договора на следующий учебный год в счет первого месяца обучения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AF0E8C">
        <w:tc>
          <w:tcPr>
            <w:tcW w:w="5000" w:type="pc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 заключении второго и последующих основных договоров с 1 сентября и в течение всего учебного года – 50% бонусов в счет первого месяца обучения;</w:t>
            </w:r>
          </w:p>
          <w:p w:rsidR="00AF0E8C" w:rsidRDefault="00AF0E8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E8C">
        <w:tc>
          <w:tcPr>
            <w:tcW w:w="5000" w:type="pc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 модульные (краткосрочные) программы – 30% в течение всего года;</w:t>
            </w:r>
          </w:p>
          <w:p w:rsidR="00AF0E8C" w:rsidRDefault="00AF0E8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 заключении договора на Международную аккредитацию – 20% бонусами от стоимости договора;</w:t>
            </w:r>
          </w:p>
          <w:p w:rsidR="00AF0E8C" w:rsidRDefault="00AF0E8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E8C">
        <w:tc>
          <w:tcPr>
            <w:tcW w:w="5000" w:type="pct"/>
            <w:noWrap/>
          </w:tcPr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Неиспользованные бонусы переносятся на следующий учебный год и действуют по 31 мая;</w:t>
            </w:r>
          </w:p>
          <w:p w:rsidR="00AF0E8C" w:rsidRDefault="00AF0E8C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E8C" w:rsidRDefault="00E431DC">
            <w:pPr>
              <w:spacing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Выпускникам Лингва по желанию можно неиспользованные бонусы</w:t>
            </w:r>
            <w:r w:rsidR="00B2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подарить члену семьи, который продолжает получать 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 ДПО ЦГО «Лингва»,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начисления всей суммы накопившихся бонусов на момент обращения.</w:t>
            </w:r>
          </w:p>
        </w:tc>
      </w:tr>
    </w:tbl>
    <w:p w:rsidR="00AF0E8C" w:rsidRDefault="00AF0E8C">
      <w:pPr>
        <w:spacing w:line="194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0E8C" w:rsidRDefault="00E431DC">
      <w:pPr>
        <w:spacing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списать бонусы в счет оплаты текущего договора повторно, только при первой оплате (при заключении)</w:t>
      </w:r>
    </w:p>
    <w:p w:rsidR="00AF0E8C" w:rsidRDefault="00B26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вступает в силу с 01.01.2025 года.</w:t>
      </w:r>
    </w:p>
    <w:p w:rsidR="00AF0E8C" w:rsidRDefault="00AF0E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E8C" w:rsidSect="00AF0E8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DC" w:rsidRDefault="00E431DC">
      <w:pPr>
        <w:spacing w:after="0" w:line="240" w:lineRule="auto"/>
      </w:pPr>
      <w:r>
        <w:separator/>
      </w:r>
    </w:p>
  </w:endnote>
  <w:endnote w:type="continuationSeparator" w:id="1">
    <w:p w:rsidR="00E431DC" w:rsidRDefault="00E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DC" w:rsidRDefault="00E431DC">
      <w:pPr>
        <w:spacing w:after="0" w:line="240" w:lineRule="auto"/>
      </w:pPr>
      <w:r>
        <w:separator/>
      </w:r>
    </w:p>
  </w:footnote>
  <w:footnote w:type="continuationSeparator" w:id="1">
    <w:p w:rsidR="00E431DC" w:rsidRDefault="00E4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806"/>
    <w:multiLevelType w:val="hybridMultilevel"/>
    <w:tmpl w:val="804A0348"/>
    <w:lvl w:ilvl="0" w:tplc="3FA2A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BC2A38">
      <w:start w:val="1"/>
      <w:numFmt w:val="lowerLetter"/>
      <w:lvlText w:val="%2."/>
      <w:lvlJc w:val="left"/>
      <w:pPr>
        <w:ind w:left="1440" w:hanging="360"/>
      </w:pPr>
    </w:lvl>
    <w:lvl w:ilvl="2" w:tplc="E96C8F5A">
      <w:start w:val="1"/>
      <w:numFmt w:val="lowerRoman"/>
      <w:lvlText w:val="%3."/>
      <w:lvlJc w:val="right"/>
      <w:pPr>
        <w:ind w:left="2160" w:hanging="180"/>
      </w:pPr>
    </w:lvl>
    <w:lvl w:ilvl="3" w:tplc="F1EC6BF2">
      <w:start w:val="1"/>
      <w:numFmt w:val="decimal"/>
      <w:lvlText w:val="%4."/>
      <w:lvlJc w:val="left"/>
      <w:pPr>
        <w:ind w:left="2880" w:hanging="360"/>
      </w:pPr>
    </w:lvl>
    <w:lvl w:ilvl="4" w:tplc="984AD910">
      <w:start w:val="1"/>
      <w:numFmt w:val="lowerLetter"/>
      <w:lvlText w:val="%5."/>
      <w:lvlJc w:val="left"/>
      <w:pPr>
        <w:ind w:left="3600" w:hanging="360"/>
      </w:pPr>
    </w:lvl>
    <w:lvl w:ilvl="5" w:tplc="DB30517C">
      <w:start w:val="1"/>
      <w:numFmt w:val="lowerRoman"/>
      <w:lvlText w:val="%6."/>
      <w:lvlJc w:val="right"/>
      <w:pPr>
        <w:ind w:left="4320" w:hanging="180"/>
      </w:pPr>
    </w:lvl>
    <w:lvl w:ilvl="6" w:tplc="8CC27CAA">
      <w:start w:val="1"/>
      <w:numFmt w:val="decimal"/>
      <w:lvlText w:val="%7."/>
      <w:lvlJc w:val="left"/>
      <w:pPr>
        <w:ind w:left="5040" w:hanging="360"/>
      </w:pPr>
    </w:lvl>
    <w:lvl w:ilvl="7" w:tplc="239445A2">
      <w:start w:val="1"/>
      <w:numFmt w:val="lowerLetter"/>
      <w:lvlText w:val="%8."/>
      <w:lvlJc w:val="left"/>
      <w:pPr>
        <w:ind w:left="5760" w:hanging="360"/>
      </w:pPr>
    </w:lvl>
    <w:lvl w:ilvl="8" w:tplc="A7CCEA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ADB"/>
    <w:multiLevelType w:val="hybridMultilevel"/>
    <w:tmpl w:val="3200B560"/>
    <w:lvl w:ilvl="0" w:tplc="CCAC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A4D88">
      <w:start w:val="1"/>
      <w:numFmt w:val="lowerLetter"/>
      <w:lvlText w:val="%2."/>
      <w:lvlJc w:val="left"/>
      <w:pPr>
        <w:ind w:left="1440" w:hanging="360"/>
      </w:pPr>
    </w:lvl>
    <w:lvl w:ilvl="2" w:tplc="D8920E04">
      <w:start w:val="1"/>
      <w:numFmt w:val="lowerRoman"/>
      <w:lvlText w:val="%3."/>
      <w:lvlJc w:val="right"/>
      <w:pPr>
        <w:ind w:left="2160" w:hanging="180"/>
      </w:pPr>
    </w:lvl>
    <w:lvl w:ilvl="3" w:tplc="36549B1C">
      <w:start w:val="1"/>
      <w:numFmt w:val="decimal"/>
      <w:lvlText w:val="%4."/>
      <w:lvlJc w:val="left"/>
      <w:pPr>
        <w:ind w:left="2880" w:hanging="360"/>
      </w:pPr>
    </w:lvl>
    <w:lvl w:ilvl="4" w:tplc="00A409B2">
      <w:start w:val="1"/>
      <w:numFmt w:val="lowerLetter"/>
      <w:lvlText w:val="%5."/>
      <w:lvlJc w:val="left"/>
      <w:pPr>
        <w:ind w:left="3600" w:hanging="360"/>
      </w:pPr>
    </w:lvl>
    <w:lvl w:ilvl="5" w:tplc="55DAF3CE">
      <w:start w:val="1"/>
      <w:numFmt w:val="lowerRoman"/>
      <w:lvlText w:val="%6."/>
      <w:lvlJc w:val="right"/>
      <w:pPr>
        <w:ind w:left="4320" w:hanging="180"/>
      </w:pPr>
    </w:lvl>
    <w:lvl w:ilvl="6" w:tplc="EE5E4A38">
      <w:start w:val="1"/>
      <w:numFmt w:val="decimal"/>
      <w:lvlText w:val="%7."/>
      <w:lvlJc w:val="left"/>
      <w:pPr>
        <w:ind w:left="5040" w:hanging="360"/>
      </w:pPr>
    </w:lvl>
    <w:lvl w:ilvl="7" w:tplc="AF3293E6">
      <w:start w:val="1"/>
      <w:numFmt w:val="lowerLetter"/>
      <w:lvlText w:val="%8."/>
      <w:lvlJc w:val="left"/>
      <w:pPr>
        <w:ind w:left="5760" w:hanging="360"/>
      </w:pPr>
    </w:lvl>
    <w:lvl w:ilvl="8" w:tplc="66FEBB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736EC"/>
    <w:multiLevelType w:val="hybridMultilevel"/>
    <w:tmpl w:val="DC2C2AE6"/>
    <w:lvl w:ilvl="0" w:tplc="3EF6C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5AD1FE">
      <w:start w:val="1"/>
      <w:numFmt w:val="lowerLetter"/>
      <w:lvlText w:val="%2."/>
      <w:lvlJc w:val="left"/>
      <w:pPr>
        <w:ind w:left="1440" w:hanging="360"/>
      </w:pPr>
    </w:lvl>
    <w:lvl w:ilvl="2" w:tplc="A092889A">
      <w:start w:val="1"/>
      <w:numFmt w:val="lowerRoman"/>
      <w:lvlText w:val="%3."/>
      <w:lvlJc w:val="right"/>
      <w:pPr>
        <w:ind w:left="2160" w:hanging="180"/>
      </w:pPr>
    </w:lvl>
    <w:lvl w:ilvl="3" w:tplc="DBC23EDC">
      <w:start w:val="1"/>
      <w:numFmt w:val="decimal"/>
      <w:lvlText w:val="%4."/>
      <w:lvlJc w:val="left"/>
      <w:pPr>
        <w:ind w:left="2880" w:hanging="360"/>
      </w:pPr>
    </w:lvl>
    <w:lvl w:ilvl="4" w:tplc="FCEEEE2E">
      <w:start w:val="1"/>
      <w:numFmt w:val="lowerLetter"/>
      <w:lvlText w:val="%5."/>
      <w:lvlJc w:val="left"/>
      <w:pPr>
        <w:ind w:left="3600" w:hanging="360"/>
      </w:pPr>
    </w:lvl>
    <w:lvl w:ilvl="5" w:tplc="ED883030">
      <w:start w:val="1"/>
      <w:numFmt w:val="lowerRoman"/>
      <w:lvlText w:val="%6."/>
      <w:lvlJc w:val="right"/>
      <w:pPr>
        <w:ind w:left="4320" w:hanging="180"/>
      </w:pPr>
    </w:lvl>
    <w:lvl w:ilvl="6" w:tplc="07C2DA3E">
      <w:start w:val="1"/>
      <w:numFmt w:val="decimal"/>
      <w:lvlText w:val="%7."/>
      <w:lvlJc w:val="left"/>
      <w:pPr>
        <w:ind w:left="5040" w:hanging="360"/>
      </w:pPr>
    </w:lvl>
    <w:lvl w:ilvl="7" w:tplc="2EE223DA">
      <w:start w:val="1"/>
      <w:numFmt w:val="lowerLetter"/>
      <w:lvlText w:val="%8."/>
      <w:lvlJc w:val="left"/>
      <w:pPr>
        <w:ind w:left="5760" w:hanging="360"/>
      </w:pPr>
    </w:lvl>
    <w:lvl w:ilvl="8" w:tplc="B64889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C1917"/>
    <w:multiLevelType w:val="hybridMultilevel"/>
    <w:tmpl w:val="997EFB52"/>
    <w:lvl w:ilvl="0" w:tplc="FE4691A8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77E4F7D8">
      <w:start w:val="1"/>
      <w:numFmt w:val="lowerLetter"/>
      <w:lvlText w:val="%2."/>
      <w:lvlJc w:val="left"/>
      <w:pPr>
        <w:ind w:left="1788" w:hanging="360"/>
      </w:pPr>
    </w:lvl>
    <w:lvl w:ilvl="2" w:tplc="CA6AD206">
      <w:start w:val="1"/>
      <w:numFmt w:val="lowerRoman"/>
      <w:lvlText w:val="%3."/>
      <w:lvlJc w:val="right"/>
      <w:pPr>
        <w:ind w:left="2508" w:hanging="180"/>
      </w:pPr>
    </w:lvl>
    <w:lvl w:ilvl="3" w:tplc="A7340B2E">
      <w:start w:val="1"/>
      <w:numFmt w:val="decimal"/>
      <w:lvlText w:val="%4."/>
      <w:lvlJc w:val="left"/>
      <w:pPr>
        <w:ind w:left="3228" w:hanging="360"/>
      </w:pPr>
    </w:lvl>
    <w:lvl w:ilvl="4" w:tplc="32C880F8">
      <w:start w:val="1"/>
      <w:numFmt w:val="lowerLetter"/>
      <w:lvlText w:val="%5."/>
      <w:lvlJc w:val="left"/>
      <w:pPr>
        <w:ind w:left="3948" w:hanging="360"/>
      </w:pPr>
    </w:lvl>
    <w:lvl w:ilvl="5" w:tplc="30EAF83E">
      <w:start w:val="1"/>
      <w:numFmt w:val="lowerRoman"/>
      <w:lvlText w:val="%6."/>
      <w:lvlJc w:val="right"/>
      <w:pPr>
        <w:ind w:left="4668" w:hanging="180"/>
      </w:pPr>
    </w:lvl>
    <w:lvl w:ilvl="6" w:tplc="0EB0EC04">
      <w:start w:val="1"/>
      <w:numFmt w:val="decimal"/>
      <w:lvlText w:val="%7."/>
      <w:lvlJc w:val="left"/>
      <w:pPr>
        <w:ind w:left="5388" w:hanging="360"/>
      </w:pPr>
    </w:lvl>
    <w:lvl w:ilvl="7" w:tplc="DCB6E3D6">
      <w:start w:val="1"/>
      <w:numFmt w:val="lowerLetter"/>
      <w:lvlText w:val="%8."/>
      <w:lvlJc w:val="left"/>
      <w:pPr>
        <w:ind w:left="6108" w:hanging="360"/>
      </w:pPr>
    </w:lvl>
    <w:lvl w:ilvl="8" w:tplc="4A54D8E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E8C"/>
    <w:rsid w:val="008D3231"/>
    <w:rsid w:val="00AF0E8C"/>
    <w:rsid w:val="00B262A9"/>
    <w:rsid w:val="00E4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AF0E8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F0E8C"/>
    <w:rPr>
      <w:sz w:val="24"/>
      <w:szCs w:val="24"/>
    </w:rPr>
  </w:style>
  <w:style w:type="character" w:customStyle="1" w:styleId="QuoteChar">
    <w:name w:val="Quote Char"/>
    <w:link w:val="2"/>
    <w:uiPriority w:val="29"/>
    <w:rsid w:val="00AF0E8C"/>
    <w:rPr>
      <w:i/>
    </w:rPr>
  </w:style>
  <w:style w:type="character" w:customStyle="1" w:styleId="IntenseQuoteChar">
    <w:name w:val="Intense Quote Char"/>
    <w:link w:val="a5"/>
    <w:uiPriority w:val="30"/>
    <w:rsid w:val="00AF0E8C"/>
    <w:rPr>
      <w:i/>
    </w:rPr>
  </w:style>
  <w:style w:type="character" w:customStyle="1" w:styleId="FootnoteTextChar">
    <w:name w:val="Footnote Text Char"/>
    <w:link w:val="a6"/>
    <w:uiPriority w:val="99"/>
    <w:rsid w:val="00AF0E8C"/>
    <w:rPr>
      <w:sz w:val="18"/>
    </w:rPr>
  </w:style>
  <w:style w:type="character" w:customStyle="1" w:styleId="EndnoteTextChar">
    <w:name w:val="Endnote Text Char"/>
    <w:link w:val="a7"/>
    <w:uiPriority w:val="99"/>
    <w:rsid w:val="00AF0E8C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AF0E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F0E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F0E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F0E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0E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F0E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0E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F0E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0E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F0E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0E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F0E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0E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F0E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0E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F0E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0E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F0E8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AF0E8C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AF0E8C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AF0E8C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AF0E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F0E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F0E8C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AF0E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AF0E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0E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F0E8C"/>
  </w:style>
  <w:style w:type="paragraph" w:customStyle="1" w:styleId="Footer">
    <w:name w:val="Footer"/>
    <w:basedOn w:val="a"/>
    <w:link w:val="CaptionChar"/>
    <w:uiPriority w:val="99"/>
    <w:unhideWhenUsed/>
    <w:rsid w:val="00AF0E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F0E8C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F0E8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AF0E8C"/>
  </w:style>
  <w:style w:type="table" w:styleId="ab">
    <w:name w:val="Table Grid"/>
    <w:basedOn w:val="a1"/>
    <w:uiPriority w:val="59"/>
    <w:rsid w:val="00AF0E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F0E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0E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F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0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0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F0E8C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AF0E8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AF0E8C"/>
    <w:rPr>
      <w:sz w:val="18"/>
    </w:rPr>
  </w:style>
  <w:style w:type="character" w:styleId="ae">
    <w:name w:val="footnote reference"/>
    <w:basedOn w:val="a0"/>
    <w:uiPriority w:val="99"/>
    <w:unhideWhenUsed/>
    <w:rsid w:val="00AF0E8C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AF0E8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AF0E8C"/>
    <w:rPr>
      <w:sz w:val="20"/>
    </w:rPr>
  </w:style>
  <w:style w:type="character" w:styleId="af0">
    <w:name w:val="endnote reference"/>
    <w:basedOn w:val="a0"/>
    <w:uiPriority w:val="99"/>
    <w:semiHidden/>
    <w:unhideWhenUsed/>
    <w:rsid w:val="00AF0E8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F0E8C"/>
    <w:pPr>
      <w:spacing w:after="57"/>
    </w:pPr>
  </w:style>
  <w:style w:type="paragraph" w:styleId="21">
    <w:name w:val="toc 2"/>
    <w:basedOn w:val="a"/>
    <w:next w:val="a"/>
    <w:uiPriority w:val="39"/>
    <w:unhideWhenUsed/>
    <w:rsid w:val="00AF0E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F0E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F0E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F0E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0E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0E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0E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0E8C"/>
    <w:pPr>
      <w:spacing w:after="57"/>
      <w:ind w:left="2268"/>
    </w:pPr>
  </w:style>
  <w:style w:type="paragraph" w:styleId="af1">
    <w:name w:val="TOC Heading"/>
    <w:uiPriority w:val="39"/>
    <w:unhideWhenUsed/>
    <w:rsid w:val="00AF0E8C"/>
  </w:style>
  <w:style w:type="paragraph" w:styleId="af2">
    <w:name w:val="table of figures"/>
    <w:basedOn w:val="a"/>
    <w:next w:val="a"/>
    <w:uiPriority w:val="99"/>
    <w:unhideWhenUsed/>
    <w:rsid w:val="00AF0E8C"/>
    <w:pPr>
      <w:spacing w:after="0"/>
    </w:pPr>
  </w:style>
  <w:style w:type="character" w:customStyle="1" w:styleId="105pt">
    <w:name w:val="Основной текст + 10;5 pt"/>
    <w:basedOn w:val="a0"/>
    <w:rsid w:val="00AF0E8C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Heading10">
    <w:name w:val="Heading #1_"/>
    <w:basedOn w:val="a0"/>
    <w:link w:val="Heading11"/>
    <w:rsid w:val="00AF0E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a"/>
    <w:link w:val="Heading10"/>
    <w:rsid w:val="00AF0E8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f3">
    <w:name w:val="List Paragraph"/>
    <w:basedOn w:val="a"/>
    <w:uiPriority w:val="34"/>
    <w:qFormat/>
    <w:rsid w:val="00AF0E8C"/>
    <w:pPr>
      <w:ind w:left="720"/>
      <w:contextualSpacing/>
    </w:pPr>
  </w:style>
  <w:style w:type="paragraph" w:styleId="af4">
    <w:name w:val="No Spacing"/>
    <w:uiPriority w:val="1"/>
    <w:qFormat/>
    <w:rsid w:val="00AF0E8C"/>
    <w:pPr>
      <w:spacing w:after="0" w:line="240" w:lineRule="auto"/>
    </w:pPr>
  </w:style>
  <w:style w:type="paragraph" w:customStyle="1" w:styleId="docdata">
    <w:name w:val="docdata"/>
    <w:basedOn w:val="a"/>
    <w:rsid w:val="00AF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AF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95CC-BF04-4B90-80AD-814348B7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lingua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3</cp:revision>
  <dcterms:created xsi:type="dcterms:W3CDTF">2025-03-19T05:22:00Z</dcterms:created>
  <dcterms:modified xsi:type="dcterms:W3CDTF">2025-03-19T05:25:00Z</dcterms:modified>
</cp:coreProperties>
</file>